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DF0B" w14:textId="39A2F2CF" w:rsidR="004C58DD" w:rsidRDefault="004648B1">
      <w:pPr>
        <w:spacing w:after="369" w:line="259" w:lineRule="auto"/>
        <w:ind w:left="720" w:firstLine="0"/>
      </w:pPr>
      <w:r>
        <w:rPr>
          <w:noProof/>
        </w:rPr>
        <w:drawing>
          <wp:anchor distT="0" distB="0" distL="114300" distR="114300" simplePos="0" relativeHeight="251659264" behindDoc="1" locked="0" layoutInCell="1" allowOverlap="1" wp14:anchorId="413486B8" wp14:editId="65536016">
            <wp:simplePos x="0" y="0"/>
            <wp:positionH relativeFrom="column">
              <wp:posOffset>-352425</wp:posOffset>
            </wp:positionH>
            <wp:positionV relativeFrom="paragraph">
              <wp:posOffset>-318</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0860CD4" wp14:editId="1AD27E3D">
            <wp:simplePos x="0" y="0"/>
            <wp:positionH relativeFrom="column">
              <wp:posOffset>8922068</wp:posOffset>
            </wp:positionH>
            <wp:positionV relativeFrom="paragraph">
              <wp:posOffset>12700</wp:posOffset>
            </wp:positionV>
            <wp:extent cx="909955" cy="942975"/>
            <wp:effectExtent l="0" t="0" r="4445" b="9525"/>
            <wp:wrapTight wrapText="bothSides">
              <wp:wrapPolygon edited="0">
                <wp:start x="0" y="0"/>
                <wp:lineTo x="0" y="21382"/>
                <wp:lineTo x="21253" y="21382"/>
                <wp:lineTo x="21253" y="0"/>
                <wp:lineTo x="0" y="0"/>
              </wp:wrapPolygon>
            </wp:wrapTight>
            <wp:docPr id="2" name="Picture 2"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12E">
        <w:t xml:space="preserve"> </w:t>
      </w:r>
    </w:p>
    <w:p w14:paraId="280AFD7A" w14:textId="77777777" w:rsidR="004648B1" w:rsidRDefault="004648B1" w:rsidP="004648B1">
      <w:pPr>
        <w:spacing w:after="125" w:line="259" w:lineRule="auto"/>
        <w:ind w:left="1440" w:firstLine="720"/>
        <w:rPr>
          <w:b/>
          <w:sz w:val="40"/>
        </w:rPr>
      </w:pPr>
      <w:r w:rsidRPr="00477C8E">
        <w:rPr>
          <w:rStyle w:val="s4"/>
          <w:rFonts w:ascii="Tahoma" w:hAnsi="Tahoma" w:cs="Tahoma"/>
          <w:b/>
          <w:bCs/>
          <w:color w:val="002060"/>
          <w:sz w:val="32"/>
          <w:szCs w:val="32"/>
        </w:rPr>
        <w:t>HENHAM AND UGLEY PRIMARY AND NURSERY SCHOOL</w:t>
      </w:r>
      <w:r>
        <w:rPr>
          <w:b/>
          <w:sz w:val="40"/>
        </w:rPr>
        <w:t xml:space="preserve"> </w:t>
      </w:r>
    </w:p>
    <w:p w14:paraId="30BA8A54" w14:textId="1F9B68AA" w:rsidR="004C58DD" w:rsidRDefault="000A212E" w:rsidP="004648B1">
      <w:pPr>
        <w:spacing w:after="125" w:line="259" w:lineRule="auto"/>
        <w:ind w:left="3600" w:firstLine="720"/>
      </w:pPr>
      <w:r>
        <w:rPr>
          <w:b/>
          <w:sz w:val="40"/>
        </w:rPr>
        <w:t xml:space="preserve">Security Incidents Policy </w:t>
      </w:r>
    </w:p>
    <w:p w14:paraId="7F59907A" w14:textId="77777777" w:rsidR="004C58DD" w:rsidRDefault="000A212E">
      <w:pPr>
        <w:spacing w:after="206"/>
        <w:ind w:left="-5"/>
      </w:pPr>
      <w:r>
        <w:t>A security incident is a confirmed breach, potential breach or ‘near-</w:t>
      </w:r>
      <w:proofErr w:type="spellStart"/>
      <w:r>
        <w:t>miss’</w:t>
      </w:r>
      <w:proofErr w:type="spellEnd"/>
      <w:r>
        <w:t xml:space="preserve"> breach of one of ECC’s information policies </w:t>
      </w:r>
    </w:p>
    <w:p w14:paraId="2A08A1F7" w14:textId="77777777" w:rsidR="004C58DD" w:rsidRDefault="000A212E">
      <w:pPr>
        <w:spacing w:line="259" w:lineRule="auto"/>
        <w:ind w:left="0" w:firstLine="0"/>
      </w:pPr>
      <w:r>
        <w:t xml:space="preserve"> </w:t>
      </w:r>
    </w:p>
    <w:p w14:paraId="283A4E22" w14:textId="77777777" w:rsidR="004C58DD" w:rsidRDefault="000A212E">
      <w:pPr>
        <w:ind w:left="-5"/>
      </w:pPr>
      <w:r>
        <w:t xml:space="preserve">Policy points are numbered. The numbering corresponds to explanations of ‘why?’ and ‘how?’ for each point further down the page. </w:t>
      </w:r>
    </w:p>
    <w:p w14:paraId="5FD43A2D" w14:textId="77777777" w:rsidR="004C58DD" w:rsidRDefault="000A212E">
      <w:pPr>
        <w:spacing w:after="0" w:line="259" w:lineRule="auto"/>
        <w:ind w:left="0" w:firstLine="0"/>
      </w:pPr>
      <w:r>
        <w:rPr>
          <w:b/>
        </w:rPr>
        <w:t xml:space="preserve"> </w:t>
      </w:r>
    </w:p>
    <w:p w14:paraId="6BC8C9A7" w14:textId="77777777" w:rsidR="004C58DD" w:rsidRDefault="000A212E">
      <w:pPr>
        <w:pBdr>
          <w:top w:val="single" w:sz="4" w:space="0" w:color="000000"/>
          <w:left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What must I do? </w:t>
      </w:r>
    </w:p>
    <w:p w14:paraId="10ED0ECC" w14:textId="77777777" w:rsidR="004C58DD" w:rsidRDefault="000A212E">
      <w:pPr>
        <w:spacing w:after="0" w:line="259" w:lineRule="auto"/>
        <w:ind w:left="0" w:firstLine="0"/>
      </w:pPr>
      <w:r>
        <w:t xml:space="preserve"> </w:t>
      </w:r>
    </w:p>
    <w:p w14:paraId="715D56C9" w14:textId="77777777" w:rsidR="004C58DD" w:rsidRDefault="000A212E">
      <w:pPr>
        <w:numPr>
          <w:ilvl w:val="0"/>
          <w:numId w:val="1"/>
        </w:numPr>
        <w:ind w:hanging="360"/>
      </w:pPr>
      <w:r>
        <w:rPr>
          <w:b/>
          <w:i/>
        </w:rPr>
        <w:t>MUST</w:t>
      </w:r>
      <w:r>
        <w:t xml:space="preserve">: If you discover a security incident, you must immediately </w:t>
      </w:r>
      <w:r>
        <w:rPr>
          <w:b/>
        </w:rPr>
        <w:t>report</w:t>
      </w:r>
      <w:r>
        <w:t xml:space="preserve"> it </w:t>
      </w:r>
    </w:p>
    <w:p w14:paraId="24D76371" w14:textId="77777777" w:rsidR="004C58DD" w:rsidRDefault="000A212E">
      <w:pPr>
        <w:numPr>
          <w:ilvl w:val="0"/>
          <w:numId w:val="1"/>
        </w:numPr>
        <w:ind w:hanging="360"/>
      </w:pPr>
      <w:r>
        <w:rPr>
          <w:b/>
          <w:i/>
        </w:rPr>
        <w:t>MUST</w:t>
      </w:r>
      <w:r>
        <w:t>: When reporting the incid</w:t>
      </w:r>
      <w:r>
        <w:t xml:space="preserve">ent, you must </w:t>
      </w:r>
      <w:r>
        <w:rPr>
          <w:b/>
        </w:rPr>
        <w:t>provide</w:t>
      </w:r>
      <w:r>
        <w:t xml:space="preserve"> as much information as possible  </w:t>
      </w:r>
    </w:p>
    <w:p w14:paraId="760EBACB" w14:textId="77777777" w:rsidR="004C58DD" w:rsidRDefault="000A212E">
      <w:pPr>
        <w:numPr>
          <w:ilvl w:val="0"/>
          <w:numId w:val="1"/>
        </w:numPr>
        <w:ind w:hanging="360"/>
      </w:pPr>
      <w:r>
        <w:rPr>
          <w:b/>
          <w:i/>
        </w:rPr>
        <w:t>MUST</w:t>
      </w:r>
      <w:r>
        <w:t xml:space="preserve">: The </w:t>
      </w:r>
      <w:r>
        <w:rPr>
          <w:i/>
        </w:rPr>
        <w:t>Investigating Officer/ Line Manager</w:t>
      </w:r>
      <w:r>
        <w:t xml:space="preserve"> must </w:t>
      </w:r>
      <w:r>
        <w:rPr>
          <w:b/>
        </w:rPr>
        <w:t>complete</w:t>
      </w:r>
      <w:r>
        <w:t xml:space="preserve"> investigations as directed by the Headteacher and complete an outcome report (see </w:t>
      </w:r>
      <w:r>
        <w:rPr>
          <w:color w:val="FF0000"/>
        </w:rPr>
        <w:t xml:space="preserve">Procedures for Reporting or Handling a Security </w:t>
      </w:r>
      <w:proofErr w:type="gramStart"/>
      <w:r>
        <w:rPr>
          <w:color w:val="FF0000"/>
        </w:rPr>
        <w:t xml:space="preserve">Incident </w:t>
      </w:r>
      <w:r>
        <w:t>)</w:t>
      </w:r>
      <w:proofErr w:type="gramEnd"/>
      <w:r>
        <w:t xml:space="preserve"> </w:t>
      </w:r>
    </w:p>
    <w:p w14:paraId="2E20E84C" w14:textId="77777777" w:rsidR="004C58DD" w:rsidRDefault="000A212E">
      <w:pPr>
        <w:numPr>
          <w:ilvl w:val="0"/>
          <w:numId w:val="1"/>
        </w:numPr>
        <w:ind w:hanging="360"/>
      </w:pPr>
      <w:r>
        <w:rPr>
          <w:b/>
          <w:i/>
        </w:rPr>
        <w:t>MUST</w:t>
      </w:r>
      <w:r>
        <w:t>: The Headteacher must</w:t>
      </w:r>
      <w:r>
        <w:rPr>
          <w:sz w:val="22"/>
        </w:rPr>
        <w:t xml:space="preserve"> </w:t>
      </w:r>
      <w:r>
        <w:t>support investigations as directed by the Full Governing Body</w:t>
      </w:r>
      <w:r>
        <w:rPr>
          <w:color w:val="FF0000"/>
        </w:rPr>
        <w:t xml:space="preserve"> </w:t>
      </w:r>
      <w:r>
        <w:t xml:space="preserve">and provide an </w:t>
      </w:r>
      <w:r>
        <w:rPr>
          <w:b/>
        </w:rPr>
        <w:t>outcome report</w:t>
      </w:r>
      <w:r>
        <w:t xml:space="preserve"> </w:t>
      </w:r>
    </w:p>
    <w:p w14:paraId="3F7C6A79" w14:textId="77777777" w:rsidR="004C58DD" w:rsidRDefault="000A212E">
      <w:pPr>
        <w:numPr>
          <w:ilvl w:val="0"/>
          <w:numId w:val="1"/>
        </w:numPr>
        <w:ind w:hanging="360"/>
      </w:pPr>
      <w:r>
        <w:rPr>
          <w:b/>
          <w:i/>
        </w:rPr>
        <w:t>MUST</w:t>
      </w:r>
      <w:r>
        <w:t>: The Headteacher</w:t>
      </w:r>
      <w:r>
        <w:rPr>
          <w:color w:val="FF0000"/>
        </w:rPr>
        <w:t xml:space="preserve"> </w:t>
      </w:r>
      <w:r>
        <w:t xml:space="preserve">must oversee and support each investigation, maintaining a full </w:t>
      </w:r>
      <w:r>
        <w:rPr>
          <w:b/>
        </w:rPr>
        <w:t>record</w:t>
      </w:r>
      <w:r>
        <w:t xml:space="preserve"> from reporting to closure </w:t>
      </w:r>
    </w:p>
    <w:p w14:paraId="230D8D02" w14:textId="77777777" w:rsidR="004C58DD" w:rsidRDefault="000A212E">
      <w:pPr>
        <w:numPr>
          <w:ilvl w:val="0"/>
          <w:numId w:val="1"/>
        </w:numPr>
        <w:ind w:hanging="360"/>
      </w:pPr>
      <w:r>
        <w:rPr>
          <w:b/>
          <w:i/>
        </w:rPr>
        <w:t>MUST</w:t>
      </w:r>
      <w:r>
        <w:t>: The Head</w:t>
      </w:r>
      <w:r>
        <w:t xml:space="preserve">teacher4 must support the investigation of </w:t>
      </w:r>
      <w:r>
        <w:rPr>
          <w:b/>
        </w:rPr>
        <w:t>major and critical</w:t>
      </w:r>
      <w:r>
        <w:t xml:space="preserve"> incidents </w:t>
      </w:r>
    </w:p>
    <w:p w14:paraId="59E75287" w14:textId="77777777" w:rsidR="004C58DD" w:rsidRDefault="000A212E">
      <w:pPr>
        <w:numPr>
          <w:ilvl w:val="0"/>
          <w:numId w:val="1"/>
        </w:numPr>
        <w:spacing w:after="208"/>
        <w:ind w:hanging="360"/>
      </w:pPr>
      <w:r>
        <w:rPr>
          <w:b/>
          <w:i/>
        </w:rPr>
        <w:t>MUST</w:t>
      </w:r>
      <w:r>
        <w:t xml:space="preserve">: Comply with the timescales and escalation process outlined in our </w:t>
      </w:r>
      <w:r>
        <w:rPr>
          <w:color w:val="FF0000"/>
        </w:rPr>
        <w:t>Procedures for Reporting or Handling a Security Incident.</w:t>
      </w:r>
      <w:r>
        <w:t xml:space="preserve"> </w:t>
      </w:r>
    </w:p>
    <w:p w14:paraId="1A55E5DA" w14:textId="77777777" w:rsidR="004C58DD" w:rsidRDefault="000A212E">
      <w:pPr>
        <w:spacing w:after="0" w:line="259" w:lineRule="auto"/>
        <w:ind w:left="720" w:firstLine="0"/>
      </w:pPr>
      <w:r>
        <w:t xml:space="preserve">  </w:t>
      </w:r>
    </w:p>
    <w:p w14:paraId="6C5FA9BE" w14:textId="77777777" w:rsidR="004C58DD" w:rsidRDefault="000A212E">
      <w:pPr>
        <w:spacing w:after="0" w:line="259" w:lineRule="auto"/>
        <w:ind w:left="0" w:firstLine="0"/>
      </w:pPr>
      <w:r>
        <w:rPr>
          <w:b/>
        </w:rPr>
        <w:t xml:space="preserve"> </w:t>
      </w:r>
    </w:p>
    <w:p w14:paraId="2CFFDE27" w14:textId="77777777" w:rsidR="004C58DD" w:rsidRDefault="000A212E">
      <w:pPr>
        <w:pBdr>
          <w:top w:val="single" w:sz="4" w:space="0" w:color="000000"/>
          <w:bottom w:val="single" w:sz="4" w:space="0" w:color="000000"/>
          <w:right w:val="single" w:sz="4" w:space="0" w:color="000000"/>
        </w:pBdr>
        <w:shd w:val="clear" w:color="auto" w:fill="000000"/>
        <w:spacing w:after="3" w:line="259" w:lineRule="auto"/>
        <w:ind w:left="-5"/>
      </w:pPr>
      <w:r>
        <w:rPr>
          <w:b/>
          <w:color w:val="FFFFFF"/>
        </w:rPr>
        <w:t xml:space="preserve">Why must I do it? </w:t>
      </w:r>
    </w:p>
    <w:p w14:paraId="6EFA4905" w14:textId="77777777" w:rsidR="004C58DD" w:rsidRDefault="000A212E">
      <w:pPr>
        <w:spacing w:after="0" w:line="259" w:lineRule="auto"/>
        <w:ind w:left="0" w:firstLine="0"/>
      </w:pPr>
      <w:r>
        <w:t xml:space="preserve"> </w:t>
      </w:r>
    </w:p>
    <w:p w14:paraId="12D03044" w14:textId="77777777" w:rsidR="004C58DD" w:rsidRDefault="000A212E">
      <w:pPr>
        <w:numPr>
          <w:ilvl w:val="0"/>
          <w:numId w:val="2"/>
        </w:numPr>
        <w:spacing w:after="0" w:line="277" w:lineRule="auto"/>
        <w:ind w:hanging="360"/>
      </w:pPr>
      <w:r>
        <w:t>Capturing security incidents allows us to respond effectively when something has gone wrong. Capturing all types of security incidents allows us to understand where our weaknesses are, how well our policies are working and what we should change about our p</w:t>
      </w:r>
      <w:r>
        <w:t xml:space="preserve">olicies to make them more effective </w:t>
      </w:r>
    </w:p>
    <w:p w14:paraId="57D86676" w14:textId="77777777" w:rsidR="004C58DD" w:rsidRDefault="000A212E">
      <w:pPr>
        <w:numPr>
          <w:ilvl w:val="0"/>
          <w:numId w:val="2"/>
        </w:numPr>
        <w:ind w:hanging="360"/>
      </w:pPr>
      <w:r>
        <w:t xml:space="preserve">To help us quickly assess the severity of the incident and to speed up the investigation </w:t>
      </w:r>
    </w:p>
    <w:p w14:paraId="23DF9AD4" w14:textId="77777777" w:rsidR="004C58DD" w:rsidRDefault="000A212E">
      <w:pPr>
        <w:numPr>
          <w:ilvl w:val="0"/>
          <w:numId w:val="2"/>
        </w:numPr>
        <w:ind w:hanging="360"/>
      </w:pPr>
      <w:r>
        <w:t xml:space="preserve">Carry out an effective process appropriate to the severity of the incident </w:t>
      </w:r>
    </w:p>
    <w:p w14:paraId="54438850" w14:textId="77777777" w:rsidR="004C58DD" w:rsidRDefault="000A212E">
      <w:pPr>
        <w:numPr>
          <w:ilvl w:val="0"/>
          <w:numId w:val="2"/>
        </w:numPr>
        <w:ind w:hanging="360"/>
      </w:pPr>
      <w:r>
        <w:t xml:space="preserve">Carry out an effective process appropriate to the severity of the incident </w:t>
      </w:r>
    </w:p>
    <w:p w14:paraId="3DD141F9" w14:textId="77777777" w:rsidR="004C58DD" w:rsidRDefault="000A212E">
      <w:pPr>
        <w:numPr>
          <w:ilvl w:val="0"/>
          <w:numId w:val="2"/>
        </w:numPr>
        <w:ind w:hanging="360"/>
      </w:pPr>
      <w:r>
        <w:t xml:space="preserve">Ensure the process is followed to completion </w:t>
      </w:r>
    </w:p>
    <w:p w14:paraId="1FDCD04A" w14:textId="77777777" w:rsidR="004C58DD" w:rsidRDefault="000A212E">
      <w:pPr>
        <w:numPr>
          <w:ilvl w:val="0"/>
          <w:numId w:val="2"/>
        </w:numPr>
        <w:ind w:hanging="360"/>
      </w:pPr>
      <w:r>
        <w:lastRenderedPageBreak/>
        <w:t xml:space="preserve">Ensure that there is appropriate resource, expertise and independent scrutiny of processes for higher impact incidents </w:t>
      </w:r>
    </w:p>
    <w:p w14:paraId="752F70C2" w14:textId="77777777" w:rsidR="004C58DD" w:rsidRDefault="000A212E">
      <w:pPr>
        <w:numPr>
          <w:ilvl w:val="0"/>
          <w:numId w:val="2"/>
        </w:numPr>
        <w:ind w:hanging="360"/>
      </w:pPr>
      <w:r>
        <w:t>Ensure that al</w:t>
      </w:r>
      <w:r>
        <w:t xml:space="preserve">l incidents are handled in a timely manner. </w:t>
      </w:r>
    </w:p>
    <w:p w14:paraId="3805C66D" w14:textId="77777777" w:rsidR="004C58DD" w:rsidRDefault="000A212E">
      <w:pPr>
        <w:spacing w:after="0" w:line="259" w:lineRule="auto"/>
        <w:ind w:left="0" w:firstLine="0"/>
      </w:pPr>
      <w:r>
        <w:t xml:space="preserve"> </w:t>
      </w:r>
    </w:p>
    <w:p w14:paraId="509A187E" w14:textId="77777777" w:rsidR="004C58DD" w:rsidRDefault="000A212E">
      <w:pPr>
        <w:spacing w:after="0" w:line="259" w:lineRule="auto"/>
        <w:ind w:left="0" w:firstLine="0"/>
      </w:pPr>
      <w:r>
        <w:rPr>
          <w:b/>
        </w:rPr>
        <w:t xml:space="preserve"> </w:t>
      </w:r>
    </w:p>
    <w:p w14:paraId="42AA6BE5" w14:textId="77777777" w:rsidR="004C58DD" w:rsidRDefault="000A212E">
      <w:pPr>
        <w:pBdr>
          <w:top w:val="single" w:sz="4" w:space="0" w:color="000000"/>
          <w:left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How must I do it? </w:t>
      </w:r>
    </w:p>
    <w:p w14:paraId="1EFA0D08" w14:textId="77777777" w:rsidR="004C58DD" w:rsidRDefault="000A212E">
      <w:pPr>
        <w:spacing w:after="0" w:line="259" w:lineRule="auto"/>
        <w:ind w:left="0" w:firstLine="0"/>
      </w:pPr>
      <w:r>
        <w:t xml:space="preserve"> </w:t>
      </w:r>
    </w:p>
    <w:p w14:paraId="79D2A167" w14:textId="77777777" w:rsidR="004C58DD" w:rsidRDefault="000A212E">
      <w:pPr>
        <w:numPr>
          <w:ilvl w:val="0"/>
          <w:numId w:val="3"/>
        </w:numPr>
        <w:ind w:hanging="360"/>
      </w:pPr>
      <w:r>
        <w:t xml:space="preserve">Please notify the Headteacher or if you would like to stay anonymous email </w:t>
      </w:r>
      <w:r>
        <w:rPr>
          <w:color w:val="0000FF"/>
          <w:u w:val="single" w:color="0000FF"/>
        </w:rPr>
        <w:t>admin@elsenham.essex.sch.uk</w:t>
      </w:r>
      <w:r>
        <w:t xml:space="preserve">.  </w:t>
      </w:r>
      <w:r>
        <w:t xml:space="preserve">No action will be taken against any member of staff who reports a security incident about another member of staff in good faith. Identification of a reporting party who requests anonymity shall be protected as far as is feasible. </w:t>
      </w:r>
    </w:p>
    <w:p w14:paraId="2086E0C9" w14:textId="77777777" w:rsidR="004C58DD" w:rsidRDefault="000A212E">
      <w:pPr>
        <w:numPr>
          <w:ilvl w:val="0"/>
          <w:numId w:val="3"/>
        </w:numPr>
        <w:ind w:hanging="360"/>
      </w:pPr>
      <w:r>
        <w:t>Include full details of t</w:t>
      </w:r>
      <w:r>
        <w:t xml:space="preserve">he incident such as dates, names and any remedial action that has been taken. </w:t>
      </w:r>
    </w:p>
    <w:p w14:paraId="716A35F0" w14:textId="77777777" w:rsidR="004C58DD" w:rsidRDefault="000A212E">
      <w:pPr>
        <w:numPr>
          <w:ilvl w:val="0"/>
          <w:numId w:val="3"/>
        </w:numPr>
        <w:ind w:hanging="360"/>
      </w:pPr>
      <w:r>
        <w:t xml:space="preserve">Where appropriate, undertake the following: </w:t>
      </w:r>
    </w:p>
    <w:p w14:paraId="12A43DDD" w14:textId="77777777" w:rsidR="004C58DD" w:rsidRDefault="000A212E">
      <w:pPr>
        <w:ind w:left="730" w:right="6847"/>
      </w:pPr>
      <w:r>
        <w:t xml:space="preserve">a. Identify expected outcomes, stakeholders and any policies breached. b. Speak to staff involved. </w:t>
      </w:r>
    </w:p>
    <w:p w14:paraId="41E5FC8F" w14:textId="77777777" w:rsidR="004C58DD" w:rsidRDefault="000A212E">
      <w:pPr>
        <w:ind w:left="730" w:right="4509"/>
      </w:pPr>
      <w:r>
        <w:t>c. Record evidence and keep an a</w:t>
      </w:r>
      <w:r>
        <w:t xml:space="preserve">udit trail of events and evidence supporting decisions taken d. Get expert help </w:t>
      </w:r>
    </w:p>
    <w:p w14:paraId="2F16D969" w14:textId="77777777" w:rsidR="004C58DD" w:rsidRDefault="000A212E">
      <w:pPr>
        <w:numPr>
          <w:ilvl w:val="1"/>
          <w:numId w:val="4"/>
        </w:numPr>
        <w:ind w:firstLine="720"/>
      </w:pPr>
      <w:r>
        <w:t xml:space="preserve">Escalate </w:t>
      </w:r>
    </w:p>
    <w:p w14:paraId="1A9F545C" w14:textId="77777777" w:rsidR="004C58DD" w:rsidRDefault="000A212E">
      <w:pPr>
        <w:numPr>
          <w:ilvl w:val="1"/>
          <w:numId w:val="4"/>
        </w:numPr>
        <w:ind w:firstLine="720"/>
      </w:pPr>
      <w:r>
        <w:t xml:space="preserve">Inform data subjects (service users, staff) where appropriate </w:t>
      </w:r>
    </w:p>
    <w:p w14:paraId="6D73FE46" w14:textId="77777777" w:rsidR="004C58DD" w:rsidRDefault="000A212E">
      <w:pPr>
        <w:numPr>
          <w:ilvl w:val="1"/>
          <w:numId w:val="4"/>
        </w:numPr>
        <w:ind w:firstLine="720"/>
      </w:pPr>
      <w:r>
        <w:t xml:space="preserve">Identify and manage risks of the incident </w:t>
      </w:r>
    </w:p>
    <w:p w14:paraId="15EEADC1" w14:textId="77777777" w:rsidR="004C58DD" w:rsidRDefault="000A212E">
      <w:pPr>
        <w:numPr>
          <w:ilvl w:val="1"/>
          <w:numId w:val="4"/>
        </w:numPr>
        <w:ind w:firstLine="720"/>
      </w:pPr>
      <w:r>
        <w:t xml:space="preserve">Commence disciplinary action, or record why not </w:t>
      </w:r>
    </w:p>
    <w:p w14:paraId="008C955E" w14:textId="77777777" w:rsidR="004C58DD" w:rsidRDefault="000A212E">
      <w:pPr>
        <w:numPr>
          <w:ilvl w:val="1"/>
          <w:numId w:val="4"/>
        </w:numPr>
        <w:ind w:firstLine="720"/>
      </w:pPr>
      <w:r>
        <w:t>Develop an</w:t>
      </w:r>
      <w:r>
        <w:t xml:space="preserve">d implement a communications plan where appropriate </w:t>
      </w:r>
    </w:p>
    <w:p w14:paraId="2C4AD8DE" w14:textId="77777777" w:rsidR="004C58DD" w:rsidRDefault="000A212E">
      <w:pPr>
        <w:numPr>
          <w:ilvl w:val="1"/>
          <w:numId w:val="4"/>
        </w:numPr>
        <w:ind w:firstLine="720"/>
      </w:pPr>
      <w:r>
        <w:t xml:space="preserve">Put in place controls to prevent recurrence </w:t>
      </w:r>
    </w:p>
    <w:p w14:paraId="4E6E8C73" w14:textId="77777777" w:rsidR="004C58DD" w:rsidRDefault="000A212E">
      <w:pPr>
        <w:numPr>
          <w:ilvl w:val="1"/>
          <w:numId w:val="4"/>
        </w:numPr>
        <w:ind w:firstLine="720"/>
      </w:pPr>
      <w:r>
        <w:t xml:space="preserve">Complete the Incident Outcome </w:t>
      </w:r>
      <w:proofErr w:type="gramStart"/>
      <w:r>
        <w:t>Report  4</w:t>
      </w:r>
      <w:proofErr w:type="gramEnd"/>
      <w:r>
        <w:t xml:space="preserve">. Where appropriate, undertake the following: </w:t>
      </w:r>
    </w:p>
    <w:p w14:paraId="020EE7EB" w14:textId="77777777" w:rsidR="004C58DD" w:rsidRDefault="000A212E">
      <w:pPr>
        <w:numPr>
          <w:ilvl w:val="1"/>
          <w:numId w:val="5"/>
        </w:numPr>
        <w:ind w:hanging="360"/>
      </w:pPr>
      <w:r>
        <w:t xml:space="preserve">Raise incidents through the Headteacher if reported to them </w:t>
      </w:r>
    </w:p>
    <w:p w14:paraId="10E3CCC9" w14:textId="77777777" w:rsidR="004C58DD" w:rsidRDefault="000A212E">
      <w:pPr>
        <w:numPr>
          <w:ilvl w:val="1"/>
          <w:numId w:val="5"/>
        </w:numPr>
        <w:ind w:hanging="360"/>
      </w:pPr>
      <w:r>
        <w:t>Work with t</w:t>
      </w:r>
      <w:r>
        <w:t xml:space="preserve">he Headteacher to investigate major security incidents. </w:t>
      </w:r>
    </w:p>
    <w:p w14:paraId="0E33E728" w14:textId="77777777" w:rsidR="004C58DD" w:rsidRDefault="000A212E">
      <w:pPr>
        <w:numPr>
          <w:ilvl w:val="1"/>
          <w:numId w:val="5"/>
        </w:numPr>
        <w:ind w:hanging="360"/>
      </w:pPr>
      <w:r>
        <w:t xml:space="preserve">Decide whether to investigate </w:t>
      </w:r>
      <w:proofErr w:type="gramStart"/>
      <w:r>
        <w:t>personally, or</w:t>
      </w:r>
      <w:proofErr w:type="gramEnd"/>
      <w:r>
        <w:t xml:space="preserve"> allocate to the line manager/ investigating officer. </w:t>
      </w:r>
    </w:p>
    <w:p w14:paraId="7837B37B" w14:textId="77777777" w:rsidR="004C58DD" w:rsidRDefault="000A212E">
      <w:pPr>
        <w:numPr>
          <w:ilvl w:val="1"/>
          <w:numId w:val="5"/>
        </w:numPr>
        <w:ind w:hanging="360"/>
      </w:pPr>
      <w:r>
        <w:t xml:space="preserve">Assess the outcome to ensure they are satisfied the appropriate action has been taken. </w:t>
      </w:r>
    </w:p>
    <w:p w14:paraId="0BED809B" w14:textId="77777777" w:rsidR="004C58DD" w:rsidRDefault="000A212E">
      <w:pPr>
        <w:numPr>
          <w:ilvl w:val="1"/>
          <w:numId w:val="5"/>
        </w:numPr>
        <w:ind w:hanging="360"/>
      </w:pPr>
      <w:r>
        <w:t xml:space="preserve">Provide service area knowledge and advice, and to carry out any recommended actions within their function for major or critical incidents, where required. </w:t>
      </w:r>
    </w:p>
    <w:p w14:paraId="316B64CB" w14:textId="77777777" w:rsidR="004C58DD" w:rsidRDefault="000A212E">
      <w:pPr>
        <w:numPr>
          <w:ilvl w:val="0"/>
          <w:numId w:val="6"/>
        </w:numPr>
        <w:ind w:hanging="360"/>
      </w:pPr>
      <w:r>
        <w:t xml:space="preserve">Undertake the following: </w:t>
      </w:r>
    </w:p>
    <w:p w14:paraId="00069937" w14:textId="77777777" w:rsidR="004C58DD" w:rsidRDefault="000A212E">
      <w:pPr>
        <w:numPr>
          <w:ilvl w:val="2"/>
          <w:numId w:val="7"/>
        </w:numPr>
        <w:ind w:hanging="360"/>
      </w:pPr>
      <w:r>
        <w:t xml:space="preserve">Classify the Security Incident </w:t>
      </w:r>
    </w:p>
    <w:p w14:paraId="183081D0" w14:textId="77777777" w:rsidR="004C58DD" w:rsidRDefault="000A212E">
      <w:pPr>
        <w:numPr>
          <w:ilvl w:val="2"/>
          <w:numId w:val="7"/>
        </w:numPr>
        <w:ind w:hanging="360"/>
      </w:pPr>
      <w:r>
        <w:t>Verify the details and oversee the investi</w:t>
      </w:r>
      <w:r>
        <w:t xml:space="preserve">gation </w:t>
      </w:r>
    </w:p>
    <w:p w14:paraId="17F0D033" w14:textId="77777777" w:rsidR="004C58DD" w:rsidRDefault="000A212E">
      <w:pPr>
        <w:numPr>
          <w:ilvl w:val="2"/>
          <w:numId w:val="7"/>
        </w:numPr>
        <w:ind w:hanging="360"/>
      </w:pPr>
      <w:r>
        <w:t xml:space="preserve">Work with Headteacher/GDPR </w:t>
      </w:r>
      <w:proofErr w:type="gramStart"/>
      <w:r>
        <w:t>Governor  investigate</w:t>
      </w:r>
      <w:proofErr w:type="gramEnd"/>
      <w:r>
        <w:t xml:space="preserve"> major security incidents. </w:t>
      </w:r>
    </w:p>
    <w:p w14:paraId="0C6FE82D" w14:textId="77777777" w:rsidR="004C58DD" w:rsidRDefault="000A212E">
      <w:pPr>
        <w:numPr>
          <w:ilvl w:val="2"/>
          <w:numId w:val="7"/>
        </w:numPr>
        <w:ind w:hanging="360"/>
      </w:pPr>
      <w:r>
        <w:lastRenderedPageBreak/>
        <w:t xml:space="preserve">Advise, support and intervene as appropriate </w:t>
      </w:r>
    </w:p>
    <w:p w14:paraId="3C2AB7BF" w14:textId="77777777" w:rsidR="004C58DD" w:rsidRDefault="000A212E">
      <w:pPr>
        <w:numPr>
          <w:ilvl w:val="2"/>
          <w:numId w:val="7"/>
        </w:numPr>
        <w:ind w:hanging="360"/>
      </w:pPr>
      <w:r>
        <w:t xml:space="preserve">Review Incident Outcome Reports and close </w:t>
      </w:r>
    </w:p>
    <w:p w14:paraId="4DD7E0EA" w14:textId="77777777" w:rsidR="004C58DD" w:rsidRDefault="000A212E">
      <w:pPr>
        <w:numPr>
          <w:ilvl w:val="0"/>
          <w:numId w:val="6"/>
        </w:numPr>
        <w:ind w:hanging="360"/>
      </w:pPr>
      <w:r>
        <w:t xml:space="preserve">For major and critical incidents: </w:t>
      </w:r>
    </w:p>
    <w:p w14:paraId="6DDC400E" w14:textId="77777777" w:rsidR="004C58DD" w:rsidRDefault="000A212E">
      <w:pPr>
        <w:numPr>
          <w:ilvl w:val="2"/>
          <w:numId w:val="8"/>
        </w:numPr>
        <w:ind w:hanging="360"/>
      </w:pPr>
      <w:r>
        <w:t xml:space="preserve">Undertake the investigation (critical only) </w:t>
      </w:r>
    </w:p>
    <w:p w14:paraId="35924B21" w14:textId="77777777" w:rsidR="004C58DD" w:rsidRDefault="000A212E">
      <w:pPr>
        <w:numPr>
          <w:ilvl w:val="2"/>
          <w:numId w:val="8"/>
        </w:numPr>
        <w:ind w:hanging="360"/>
      </w:pPr>
      <w:r>
        <w:t>Wor</w:t>
      </w:r>
      <w:r>
        <w:t>k with Headteacher, GDPR, Full Governing Body and DPO</w:t>
      </w:r>
      <w:r>
        <w:rPr>
          <w:color w:val="FF0000"/>
        </w:rPr>
        <w:t xml:space="preserve"> </w:t>
      </w:r>
      <w:r>
        <w:t xml:space="preserve">(major only) </w:t>
      </w:r>
    </w:p>
    <w:p w14:paraId="4858F626" w14:textId="77777777" w:rsidR="004C58DD" w:rsidRDefault="000A212E">
      <w:pPr>
        <w:numPr>
          <w:ilvl w:val="2"/>
          <w:numId w:val="8"/>
        </w:numPr>
        <w:ind w:hanging="360"/>
      </w:pPr>
      <w:r>
        <w:t xml:space="preserve">Assess if it is necessary for the security incident to be reported to the ICO. </w:t>
      </w:r>
    </w:p>
    <w:p w14:paraId="17E7DC62" w14:textId="77777777" w:rsidR="004C58DD" w:rsidRDefault="000A212E">
      <w:pPr>
        <w:numPr>
          <w:ilvl w:val="2"/>
          <w:numId w:val="8"/>
        </w:numPr>
        <w:ind w:hanging="360"/>
      </w:pPr>
      <w:r>
        <w:t xml:space="preserve">Complete an outcome report and recommend remedial actions. </w:t>
      </w:r>
    </w:p>
    <w:p w14:paraId="34FE6781" w14:textId="77777777" w:rsidR="004C58DD" w:rsidRDefault="000A212E">
      <w:pPr>
        <w:numPr>
          <w:ilvl w:val="0"/>
          <w:numId w:val="6"/>
        </w:numPr>
        <w:spacing w:after="206"/>
        <w:ind w:hanging="360"/>
      </w:pPr>
      <w:r>
        <w:t>Follow the process outlined in the ECC Procedure</w:t>
      </w:r>
      <w:r>
        <w:t xml:space="preserve">s for Reporting or Handling a Security Incident </w:t>
      </w:r>
    </w:p>
    <w:p w14:paraId="1ED599C8" w14:textId="77777777" w:rsidR="004C58DD" w:rsidRDefault="000A212E">
      <w:pPr>
        <w:spacing w:after="0" w:line="259" w:lineRule="auto"/>
        <w:ind w:left="0" w:firstLine="0"/>
      </w:pPr>
      <w:r>
        <w:rPr>
          <w:b/>
        </w:rPr>
        <w:t xml:space="preserve"> </w:t>
      </w:r>
    </w:p>
    <w:p w14:paraId="03793FF0" w14:textId="77777777" w:rsidR="004C58DD" w:rsidRDefault="000A212E">
      <w:pPr>
        <w:spacing w:after="0" w:line="259" w:lineRule="auto"/>
        <w:ind w:left="0" w:firstLine="0"/>
      </w:pPr>
      <w:r>
        <w:rPr>
          <w:b/>
        </w:rPr>
        <w:t xml:space="preserve"> </w:t>
      </w:r>
    </w:p>
    <w:p w14:paraId="5D968917" w14:textId="77777777" w:rsidR="004C58DD" w:rsidRDefault="000A212E">
      <w:pPr>
        <w:pBdr>
          <w:top w:val="single" w:sz="4" w:space="0" w:color="000000"/>
          <w:bottom w:val="single" w:sz="4" w:space="0" w:color="000000"/>
          <w:right w:val="single" w:sz="4" w:space="0" w:color="000000"/>
        </w:pBdr>
        <w:shd w:val="clear" w:color="auto" w:fill="000000"/>
        <w:spacing w:after="3" w:line="259" w:lineRule="auto"/>
        <w:ind w:left="-5"/>
      </w:pPr>
      <w:r>
        <w:rPr>
          <w:b/>
          <w:color w:val="FFFFFF"/>
        </w:rPr>
        <w:t xml:space="preserve">What if I need to do something against the policy? </w:t>
      </w:r>
    </w:p>
    <w:p w14:paraId="73162C51" w14:textId="77777777" w:rsidR="004C58DD" w:rsidRDefault="000A212E">
      <w:pPr>
        <w:spacing w:after="0" w:line="259" w:lineRule="auto"/>
        <w:ind w:left="0" w:firstLine="0"/>
      </w:pPr>
      <w:r>
        <w:rPr>
          <w:rFonts w:ascii="Calibri" w:eastAsia="Calibri" w:hAnsi="Calibri" w:cs="Calibri"/>
          <w:sz w:val="22"/>
        </w:rPr>
        <w:t xml:space="preserve"> </w:t>
      </w:r>
    </w:p>
    <w:p w14:paraId="34AF0E05" w14:textId="4F6E7E20" w:rsidR="004C58DD" w:rsidRDefault="000A212E">
      <w:pPr>
        <w:ind w:left="-5"/>
      </w:pPr>
      <w:r>
        <w:t xml:space="preserve">If you believe you have a valid business reason for an exception to these policy points, having read and understood the reasons why they are in place, please raise a formal request by contacting the Headteacher, Mrs </w:t>
      </w:r>
      <w:r w:rsidR="004648B1">
        <w:t>Kim Hall</w:t>
      </w:r>
      <w:r>
        <w:t>. Telephone: 01279 8</w:t>
      </w:r>
      <w:r w:rsidR="004648B1">
        <w:t>50213</w:t>
      </w:r>
      <w:r>
        <w:t xml:space="preserve"> </w:t>
      </w:r>
    </w:p>
    <w:p w14:paraId="3AB9B38D" w14:textId="77777777" w:rsidR="004C58DD" w:rsidRDefault="000A212E">
      <w:pPr>
        <w:spacing w:after="86" w:line="259" w:lineRule="auto"/>
        <w:ind w:left="0" w:firstLine="0"/>
      </w:pPr>
      <w:r>
        <w:rPr>
          <w:sz w:val="16"/>
        </w:rPr>
        <w:t xml:space="preserve"> </w:t>
      </w:r>
    </w:p>
    <w:p w14:paraId="012A0AFB" w14:textId="77777777" w:rsidR="004C58DD" w:rsidRDefault="000A212E">
      <w:pPr>
        <w:ind w:left="-5"/>
      </w:pPr>
      <w:r>
        <w:t>I</w:t>
      </w:r>
      <w:r>
        <w:t xml:space="preserve">f you believe the policy does not meet your business needs, you may raise this with your Information Champion who, if they agree with your suggestion, may propose a policy change. </w:t>
      </w:r>
    </w:p>
    <w:p w14:paraId="44F40218" w14:textId="77777777" w:rsidR="004C58DD" w:rsidRDefault="000A212E">
      <w:pPr>
        <w:spacing w:after="0" w:line="259" w:lineRule="auto"/>
        <w:ind w:left="0" w:firstLine="0"/>
      </w:pPr>
      <w:r>
        <w:t xml:space="preserve"> </w:t>
      </w:r>
    </w:p>
    <w:tbl>
      <w:tblPr>
        <w:tblStyle w:val="TableGrid"/>
        <w:tblW w:w="15782" w:type="dxa"/>
        <w:tblInd w:w="-113" w:type="dxa"/>
        <w:tblCellMar>
          <w:top w:w="7" w:type="dxa"/>
          <w:left w:w="0" w:type="dxa"/>
          <w:bottom w:w="8" w:type="dxa"/>
          <w:right w:w="115" w:type="dxa"/>
        </w:tblCellMar>
        <w:tblLook w:val="04A0" w:firstRow="1" w:lastRow="0" w:firstColumn="1" w:lastColumn="0" w:noHBand="0" w:noVBand="1"/>
      </w:tblPr>
      <w:tblGrid>
        <w:gridCol w:w="2273"/>
        <w:gridCol w:w="13509"/>
      </w:tblGrid>
      <w:tr w:rsidR="004C58DD" w14:paraId="29451982" w14:textId="77777777">
        <w:trPr>
          <w:trHeight w:val="283"/>
        </w:trPr>
        <w:tc>
          <w:tcPr>
            <w:tcW w:w="15782" w:type="dxa"/>
            <w:gridSpan w:val="2"/>
            <w:tcBorders>
              <w:top w:val="single" w:sz="4" w:space="0" w:color="000000"/>
              <w:left w:val="nil"/>
              <w:bottom w:val="single" w:sz="4" w:space="0" w:color="000000"/>
              <w:right w:val="single" w:sz="4" w:space="0" w:color="000000"/>
            </w:tcBorders>
            <w:shd w:val="clear" w:color="auto" w:fill="000000"/>
          </w:tcPr>
          <w:p w14:paraId="6001346D" w14:textId="77777777" w:rsidR="004C58DD" w:rsidRDefault="000A212E">
            <w:pPr>
              <w:spacing w:after="0" w:line="259" w:lineRule="auto"/>
              <w:ind w:left="113" w:firstLine="0"/>
            </w:pPr>
            <w:r>
              <w:rPr>
                <w:b/>
                <w:color w:val="FFFFFF"/>
              </w:rPr>
              <w:t xml:space="preserve">Document Control </w:t>
            </w:r>
          </w:p>
        </w:tc>
      </w:tr>
      <w:tr w:rsidR="004C58DD" w14:paraId="5B6F6206" w14:textId="77777777">
        <w:trPr>
          <w:trHeight w:val="634"/>
        </w:trPr>
        <w:tc>
          <w:tcPr>
            <w:tcW w:w="2273" w:type="dxa"/>
            <w:tcBorders>
              <w:top w:val="single" w:sz="4" w:space="0" w:color="000000"/>
              <w:left w:val="nil"/>
              <w:bottom w:val="nil"/>
              <w:right w:val="nil"/>
            </w:tcBorders>
          </w:tcPr>
          <w:p w14:paraId="5AF056E2" w14:textId="77777777" w:rsidR="004C58DD" w:rsidRDefault="000A212E">
            <w:pPr>
              <w:spacing w:after="0" w:line="259" w:lineRule="auto"/>
              <w:ind w:left="113" w:firstLine="0"/>
            </w:pPr>
            <w:r>
              <w:rPr>
                <w:rFonts w:ascii="Calibri" w:eastAsia="Calibri" w:hAnsi="Calibri" w:cs="Calibri"/>
                <w:sz w:val="22"/>
              </w:rPr>
              <w:t xml:space="preserve"> </w:t>
            </w:r>
          </w:p>
          <w:p w14:paraId="514200F4" w14:textId="77777777" w:rsidR="004C58DD" w:rsidRDefault="000A212E">
            <w:pPr>
              <w:tabs>
                <w:tab w:val="center" w:pos="1553"/>
              </w:tabs>
              <w:spacing w:after="0" w:line="259" w:lineRule="auto"/>
              <w:ind w:left="0" w:firstLine="0"/>
            </w:pPr>
            <w:r>
              <w:t xml:space="preserve">Version:  </w:t>
            </w:r>
            <w:r>
              <w:tab/>
              <w:t xml:space="preserve"> </w:t>
            </w:r>
          </w:p>
        </w:tc>
        <w:tc>
          <w:tcPr>
            <w:tcW w:w="13509" w:type="dxa"/>
            <w:tcBorders>
              <w:top w:val="single" w:sz="4" w:space="0" w:color="000000"/>
              <w:left w:val="nil"/>
              <w:bottom w:val="nil"/>
              <w:right w:val="nil"/>
            </w:tcBorders>
            <w:vAlign w:val="bottom"/>
          </w:tcPr>
          <w:p w14:paraId="6C2B7D36" w14:textId="77777777" w:rsidR="004C58DD" w:rsidRDefault="000A212E">
            <w:pPr>
              <w:spacing w:after="0" w:line="259" w:lineRule="auto"/>
              <w:ind w:left="0" w:firstLine="0"/>
            </w:pPr>
            <w:r>
              <w:t xml:space="preserve">1 </w:t>
            </w:r>
          </w:p>
        </w:tc>
      </w:tr>
      <w:tr w:rsidR="004C58DD" w14:paraId="75900C5D" w14:textId="77777777">
        <w:trPr>
          <w:trHeight w:val="496"/>
        </w:trPr>
        <w:tc>
          <w:tcPr>
            <w:tcW w:w="2273" w:type="dxa"/>
            <w:tcBorders>
              <w:top w:val="nil"/>
              <w:left w:val="nil"/>
              <w:bottom w:val="nil"/>
              <w:right w:val="nil"/>
            </w:tcBorders>
            <w:vAlign w:val="center"/>
          </w:tcPr>
          <w:p w14:paraId="5B105F1D" w14:textId="77777777" w:rsidR="004C58DD" w:rsidRDefault="000A212E">
            <w:pPr>
              <w:spacing w:after="0" w:line="259" w:lineRule="auto"/>
              <w:ind w:left="113" w:firstLine="0"/>
            </w:pPr>
            <w:r>
              <w:t xml:space="preserve">Date approved:  </w:t>
            </w:r>
          </w:p>
        </w:tc>
        <w:tc>
          <w:tcPr>
            <w:tcW w:w="13509" w:type="dxa"/>
            <w:tcBorders>
              <w:top w:val="nil"/>
              <w:left w:val="nil"/>
              <w:bottom w:val="nil"/>
              <w:right w:val="nil"/>
            </w:tcBorders>
            <w:vAlign w:val="center"/>
          </w:tcPr>
          <w:p w14:paraId="1E1DBAB2" w14:textId="6F6CACE1" w:rsidR="004C58DD" w:rsidRDefault="004648B1">
            <w:pPr>
              <w:spacing w:after="0" w:line="259" w:lineRule="auto"/>
              <w:ind w:left="0" w:firstLine="0"/>
            </w:pPr>
            <w:r>
              <w:t>July</w:t>
            </w:r>
            <w:r w:rsidR="000A212E">
              <w:t xml:space="preserve"> 2018</w:t>
            </w:r>
            <w:r w:rsidR="000A212E">
              <w:rPr>
                <w:color w:val="FF0000"/>
              </w:rPr>
              <w:t xml:space="preserve"> </w:t>
            </w:r>
          </w:p>
        </w:tc>
      </w:tr>
      <w:tr w:rsidR="004C58DD" w14:paraId="5D2ABD45" w14:textId="77777777">
        <w:trPr>
          <w:trHeight w:val="475"/>
        </w:trPr>
        <w:tc>
          <w:tcPr>
            <w:tcW w:w="2273" w:type="dxa"/>
            <w:tcBorders>
              <w:top w:val="nil"/>
              <w:left w:val="nil"/>
              <w:bottom w:val="nil"/>
              <w:right w:val="nil"/>
            </w:tcBorders>
            <w:vAlign w:val="center"/>
          </w:tcPr>
          <w:p w14:paraId="3237337D" w14:textId="77777777" w:rsidR="004C58DD" w:rsidRDefault="000A212E">
            <w:pPr>
              <w:spacing w:after="0" w:line="259" w:lineRule="auto"/>
              <w:ind w:left="113" w:firstLine="0"/>
            </w:pPr>
            <w:r>
              <w:t xml:space="preserve">Approved by:  </w:t>
            </w:r>
          </w:p>
        </w:tc>
        <w:tc>
          <w:tcPr>
            <w:tcW w:w="13509" w:type="dxa"/>
            <w:tcBorders>
              <w:top w:val="nil"/>
              <w:left w:val="nil"/>
              <w:bottom w:val="nil"/>
              <w:right w:val="nil"/>
            </w:tcBorders>
            <w:vAlign w:val="center"/>
          </w:tcPr>
          <w:p w14:paraId="0ABF04E0" w14:textId="3C0CA686" w:rsidR="004C58DD" w:rsidRDefault="000A212E">
            <w:pPr>
              <w:spacing w:after="0" w:line="259" w:lineRule="auto"/>
              <w:ind w:left="0" w:firstLine="0"/>
            </w:pPr>
            <w:r>
              <w:t>Full Governing Bo</w:t>
            </w:r>
            <w:r w:rsidR="004648B1">
              <w:t>ard</w:t>
            </w:r>
            <w:bookmarkStart w:id="0" w:name="_GoBack"/>
            <w:bookmarkEnd w:id="0"/>
            <w:r>
              <w:t xml:space="preserve"> </w:t>
            </w:r>
          </w:p>
        </w:tc>
      </w:tr>
      <w:tr w:rsidR="004C58DD" w14:paraId="5FE69172" w14:textId="77777777">
        <w:trPr>
          <w:trHeight w:val="1057"/>
        </w:trPr>
        <w:tc>
          <w:tcPr>
            <w:tcW w:w="2273" w:type="dxa"/>
            <w:tcBorders>
              <w:top w:val="nil"/>
              <w:left w:val="nil"/>
              <w:bottom w:val="single" w:sz="4" w:space="0" w:color="000000"/>
              <w:right w:val="nil"/>
            </w:tcBorders>
          </w:tcPr>
          <w:p w14:paraId="4BABED3D" w14:textId="77777777" w:rsidR="004C58DD" w:rsidRDefault="000A212E">
            <w:pPr>
              <w:spacing w:after="180" w:line="259" w:lineRule="auto"/>
              <w:ind w:left="113" w:firstLine="0"/>
            </w:pPr>
            <w:r>
              <w:t xml:space="preserve">Next review:   </w:t>
            </w:r>
          </w:p>
          <w:p w14:paraId="1DB90997" w14:textId="77777777" w:rsidR="004C58DD" w:rsidRDefault="000A212E">
            <w:pPr>
              <w:spacing w:after="0" w:line="259" w:lineRule="auto"/>
              <w:ind w:left="113" w:firstLine="0"/>
            </w:pPr>
            <w:r>
              <w:t xml:space="preserve"> </w:t>
            </w:r>
          </w:p>
        </w:tc>
        <w:tc>
          <w:tcPr>
            <w:tcW w:w="13509" w:type="dxa"/>
            <w:tcBorders>
              <w:top w:val="nil"/>
              <w:left w:val="nil"/>
              <w:bottom w:val="single" w:sz="4" w:space="0" w:color="000000"/>
              <w:right w:val="nil"/>
            </w:tcBorders>
          </w:tcPr>
          <w:p w14:paraId="5EB1A3D2" w14:textId="77777777" w:rsidR="004C58DD" w:rsidRDefault="000A212E">
            <w:pPr>
              <w:spacing w:after="0" w:line="259" w:lineRule="auto"/>
              <w:ind w:left="0" w:firstLine="0"/>
            </w:pPr>
            <w:r>
              <w:t>Annual Review Period</w:t>
            </w:r>
            <w:r>
              <w:rPr>
                <w:color w:val="FF0000"/>
              </w:rPr>
              <w:t xml:space="preserve"> </w:t>
            </w:r>
          </w:p>
        </w:tc>
      </w:tr>
      <w:tr w:rsidR="004C58DD" w14:paraId="511977C0" w14:textId="77777777">
        <w:trPr>
          <w:trHeight w:val="283"/>
        </w:trPr>
        <w:tc>
          <w:tcPr>
            <w:tcW w:w="2273" w:type="dxa"/>
            <w:tcBorders>
              <w:top w:val="single" w:sz="4" w:space="0" w:color="000000"/>
              <w:left w:val="nil"/>
              <w:bottom w:val="single" w:sz="4" w:space="0" w:color="000000"/>
              <w:right w:val="nil"/>
            </w:tcBorders>
            <w:shd w:val="clear" w:color="auto" w:fill="000000"/>
          </w:tcPr>
          <w:p w14:paraId="2B669A4E" w14:textId="77777777" w:rsidR="004C58DD" w:rsidRDefault="000A212E">
            <w:pPr>
              <w:spacing w:after="0" w:line="259" w:lineRule="auto"/>
              <w:ind w:left="113" w:firstLine="0"/>
            </w:pPr>
            <w:r>
              <w:rPr>
                <w:b/>
                <w:color w:val="FFFFFF"/>
              </w:rPr>
              <w:t xml:space="preserve">References </w:t>
            </w:r>
          </w:p>
        </w:tc>
        <w:tc>
          <w:tcPr>
            <w:tcW w:w="13509" w:type="dxa"/>
            <w:tcBorders>
              <w:top w:val="single" w:sz="4" w:space="0" w:color="000000"/>
              <w:left w:val="nil"/>
              <w:bottom w:val="single" w:sz="4" w:space="0" w:color="000000"/>
              <w:right w:val="single" w:sz="4" w:space="0" w:color="000000"/>
            </w:tcBorders>
            <w:shd w:val="clear" w:color="auto" w:fill="000000"/>
          </w:tcPr>
          <w:p w14:paraId="1A3A7EA6" w14:textId="77777777" w:rsidR="004C58DD" w:rsidRDefault="004C58DD">
            <w:pPr>
              <w:spacing w:after="160" w:line="259" w:lineRule="auto"/>
              <w:ind w:left="0" w:firstLine="0"/>
            </w:pPr>
          </w:p>
        </w:tc>
      </w:tr>
    </w:tbl>
    <w:p w14:paraId="5913EB99" w14:textId="77777777" w:rsidR="004C58DD" w:rsidRDefault="000A212E">
      <w:pPr>
        <w:spacing w:after="35" w:line="259" w:lineRule="auto"/>
        <w:ind w:left="720" w:firstLine="0"/>
      </w:pPr>
      <w:r>
        <w:rPr>
          <w:color w:val="FF0000"/>
        </w:rPr>
        <w:t xml:space="preserve"> </w:t>
      </w:r>
    </w:p>
    <w:p w14:paraId="6C42272B" w14:textId="77777777" w:rsidR="004C58DD" w:rsidRDefault="000A212E">
      <w:pPr>
        <w:numPr>
          <w:ilvl w:val="1"/>
          <w:numId w:val="6"/>
        </w:numPr>
        <w:ind w:hanging="360"/>
      </w:pPr>
      <w:r>
        <w:t xml:space="preserve">Data Protection Act 1998 </w:t>
      </w:r>
    </w:p>
    <w:p w14:paraId="40E58D9D" w14:textId="77777777" w:rsidR="004C58DD" w:rsidRDefault="000A212E">
      <w:pPr>
        <w:numPr>
          <w:ilvl w:val="1"/>
          <w:numId w:val="6"/>
        </w:numPr>
        <w:ind w:hanging="360"/>
      </w:pPr>
      <w:r>
        <w:lastRenderedPageBreak/>
        <w:t xml:space="preserve">Article 8, Human Rights Act 1998 </w:t>
      </w:r>
    </w:p>
    <w:p w14:paraId="41769694" w14:textId="77777777" w:rsidR="004C58DD" w:rsidRDefault="000A212E">
      <w:pPr>
        <w:spacing w:after="228" w:line="259" w:lineRule="auto"/>
        <w:ind w:left="720" w:firstLine="0"/>
      </w:pPr>
      <w:r>
        <w:rPr>
          <w:color w:val="FF0000"/>
        </w:rPr>
        <w:t xml:space="preserve"> </w:t>
      </w:r>
    </w:p>
    <w:p w14:paraId="7D7B7DBC" w14:textId="77777777" w:rsidR="004C58DD" w:rsidRDefault="000A212E">
      <w:pPr>
        <w:pBdr>
          <w:top w:val="single" w:sz="4" w:space="0" w:color="000000"/>
          <w:bottom w:val="single" w:sz="4" w:space="0" w:color="000000"/>
          <w:right w:val="single" w:sz="4" w:space="0" w:color="000000"/>
        </w:pBdr>
        <w:shd w:val="clear" w:color="auto" w:fill="000000"/>
        <w:spacing w:after="3" w:line="259" w:lineRule="auto"/>
        <w:ind w:left="-5"/>
      </w:pPr>
      <w:r>
        <w:rPr>
          <w:b/>
          <w:color w:val="FFFFFF"/>
        </w:rPr>
        <w:t xml:space="preserve">Breach Statement </w:t>
      </w:r>
    </w:p>
    <w:p w14:paraId="05938A90" w14:textId="77777777" w:rsidR="004C58DD" w:rsidRDefault="000A212E">
      <w:pPr>
        <w:spacing w:after="220" w:line="259" w:lineRule="auto"/>
        <w:ind w:left="0" w:firstLine="0"/>
      </w:pPr>
      <w:r>
        <w:rPr>
          <w:b/>
        </w:rPr>
        <w:t xml:space="preserve"> </w:t>
      </w:r>
    </w:p>
    <w:p w14:paraId="08377422" w14:textId="77777777" w:rsidR="004C58DD" w:rsidRDefault="000A212E">
      <w:pPr>
        <w:spacing w:after="208"/>
        <w:ind w:left="-5"/>
      </w:pPr>
      <w:r>
        <w:t xml:space="preserve">Breaches of Information Policies will be investigated and may result in disciplinary action. Serious breaches of Policy may be considered gross misconduct and result in dismissal without notice, or legal action being taken against you. </w:t>
      </w:r>
    </w:p>
    <w:p w14:paraId="526EEA35" w14:textId="77777777" w:rsidR="004C58DD" w:rsidRDefault="000A212E">
      <w:pPr>
        <w:spacing w:after="218" w:line="259" w:lineRule="auto"/>
        <w:ind w:left="0" w:firstLine="0"/>
      </w:pPr>
      <w:r>
        <w:t xml:space="preserve"> </w:t>
      </w:r>
    </w:p>
    <w:p w14:paraId="041BD364" w14:textId="77777777" w:rsidR="004C58DD" w:rsidRDefault="000A212E">
      <w:pPr>
        <w:spacing w:after="201" w:line="259" w:lineRule="auto"/>
        <w:ind w:left="0" w:firstLine="0"/>
      </w:pPr>
      <w:r>
        <w:t xml:space="preserve"> </w:t>
      </w:r>
    </w:p>
    <w:p w14:paraId="3A895887" w14:textId="77777777" w:rsidR="004C58DD" w:rsidRDefault="000A212E">
      <w:pPr>
        <w:spacing w:after="0" w:line="259" w:lineRule="auto"/>
        <w:ind w:left="0" w:firstLine="0"/>
      </w:pPr>
      <w:r>
        <w:rPr>
          <w:sz w:val="22"/>
        </w:rPr>
        <w:t xml:space="preserve"> </w:t>
      </w:r>
    </w:p>
    <w:sectPr w:rsidR="004C58DD">
      <w:footerReference w:type="even" r:id="rId8"/>
      <w:footerReference w:type="default" r:id="rId9"/>
      <w:footerReference w:type="first" r:id="rId10"/>
      <w:pgSz w:w="16838" w:h="11906" w:orient="landscape"/>
      <w:pgMar w:top="287" w:right="312" w:bottom="1337" w:left="994" w:header="72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9E78B" w14:textId="77777777" w:rsidR="000A212E" w:rsidRDefault="000A212E">
      <w:pPr>
        <w:spacing w:after="0" w:line="240" w:lineRule="auto"/>
      </w:pPr>
      <w:r>
        <w:separator/>
      </w:r>
    </w:p>
  </w:endnote>
  <w:endnote w:type="continuationSeparator" w:id="0">
    <w:p w14:paraId="0846DE48" w14:textId="77777777" w:rsidR="000A212E" w:rsidRDefault="000A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6632" w14:textId="77777777" w:rsidR="004C58DD" w:rsidRDefault="000A212E">
    <w:pPr>
      <w:spacing w:after="0" w:line="259" w:lineRule="auto"/>
      <w:ind w:left="3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E4A6E8C" w14:textId="77777777" w:rsidR="004C58DD" w:rsidRDefault="000A212E">
    <w:pPr>
      <w:spacing w:after="0" w:line="259" w:lineRule="auto"/>
      <w:ind w:left="0" w:right="-81"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8832" w14:textId="77777777" w:rsidR="004C58DD" w:rsidRDefault="000A212E">
    <w:pPr>
      <w:spacing w:after="0" w:line="259" w:lineRule="auto"/>
      <w:ind w:left="3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420B8BC" w14:textId="77777777" w:rsidR="004C58DD" w:rsidRDefault="000A212E">
    <w:pPr>
      <w:spacing w:after="0" w:line="259" w:lineRule="auto"/>
      <w:ind w:left="0" w:right="-81"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EB45" w14:textId="77777777" w:rsidR="004C58DD" w:rsidRDefault="000A212E">
    <w:pPr>
      <w:spacing w:after="0" w:line="259" w:lineRule="auto"/>
      <w:ind w:left="3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DBA5FF4" w14:textId="77777777" w:rsidR="004C58DD" w:rsidRDefault="000A212E">
    <w:pPr>
      <w:spacing w:after="0" w:line="259" w:lineRule="auto"/>
      <w:ind w:left="0" w:right="-81"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BEF52" w14:textId="77777777" w:rsidR="000A212E" w:rsidRDefault="000A212E">
      <w:pPr>
        <w:spacing w:after="0" w:line="240" w:lineRule="auto"/>
      </w:pPr>
      <w:r>
        <w:separator/>
      </w:r>
    </w:p>
  </w:footnote>
  <w:footnote w:type="continuationSeparator" w:id="0">
    <w:p w14:paraId="3AE2EB85" w14:textId="77777777" w:rsidR="000A212E" w:rsidRDefault="000A2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4226"/>
    <w:multiLevelType w:val="hybridMultilevel"/>
    <w:tmpl w:val="E3FAB47C"/>
    <w:lvl w:ilvl="0" w:tplc="75C456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1C562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FAB302">
      <w:start w:val="1"/>
      <w:numFmt w:val="lowerLetter"/>
      <w:lvlRestart w:val="0"/>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1A0E74">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E28758">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FC06E6">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CCC59A">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5CF540">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C81A0A">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9C3DE4"/>
    <w:multiLevelType w:val="hybridMultilevel"/>
    <w:tmpl w:val="0CA46D04"/>
    <w:lvl w:ilvl="0" w:tplc="C3787C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3AD4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BEC9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225B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3C25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927A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4A9C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0431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EE7D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7E4FA0"/>
    <w:multiLevelType w:val="hybridMultilevel"/>
    <w:tmpl w:val="03F89E04"/>
    <w:lvl w:ilvl="0" w:tplc="9DDEFA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D45C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D071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56C5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0466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68FA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0265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F245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06EF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4A532E"/>
    <w:multiLevelType w:val="hybridMultilevel"/>
    <w:tmpl w:val="9740D936"/>
    <w:lvl w:ilvl="0" w:tplc="8FB80B6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890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10DC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70AF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5839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3AC4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FA8B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2226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80D3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601300"/>
    <w:multiLevelType w:val="hybridMultilevel"/>
    <w:tmpl w:val="3AE4A4F2"/>
    <w:lvl w:ilvl="0" w:tplc="444C663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8AFC28">
      <w:start w:val="5"/>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0088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B852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72C3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4A91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3A7C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2E34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C05B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A16196"/>
    <w:multiLevelType w:val="hybridMultilevel"/>
    <w:tmpl w:val="142E9644"/>
    <w:lvl w:ilvl="0" w:tplc="41C8F48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A8767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3CDF28">
      <w:start w:val="1"/>
      <w:numFmt w:val="lowerLetter"/>
      <w:lvlRestart w:val="0"/>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444256">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9ECE1E">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000FA">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1E8EDC">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60689C">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E0A6F4">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FF1EE2"/>
    <w:multiLevelType w:val="hybridMultilevel"/>
    <w:tmpl w:val="D52A5A86"/>
    <w:lvl w:ilvl="0" w:tplc="24DC4FA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685E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617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DA8A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FE20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E0E3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5EFD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2E4A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5615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131F1F"/>
    <w:multiLevelType w:val="hybridMultilevel"/>
    <w:tmpl w:val="487E8C56"/>
    <w:lvl w:ilvl="0" w:tplc="4412F4E8">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2C06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869FA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3AAD8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FE2E5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C64AA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8461E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9427A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1602A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DD"/>
    <w:rsid w:val="000A212E"/>
    <w:rsid w:val="004648B1"/>
    <w:rsid w:val="004C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B6F3"/>
  <w15:docId w15:val="{19D7B5E3-FDD6-4EB0-AFC3-8D70F4A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6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4">
    <w:name w:val="s4"/>
    <w:basedOn w:val="DefaultParagraphFont"/>
    <w:rsid w:val="0046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cp:lastModifiedBy>Henham and Ugley Head Email</cp:lastModifiedBy>
  <cp:revision>2</cp:revision>
  <dcterms:created xsi:type="dcterms:W3CDTF">2018-08-07T13:57:00Z</dcterms:created>
  <dcterms:modified xsi:type="dcterms:W3CDTF">2018-08-07T13:57:00Z</dcterms:modified>
</cp:coreProperties>
</file>